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PLC DOCUMENT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FOR ANALYZING </w:t>
      </w:r>
      <w:r>
        <w:rPr>
          <w:b w:val="1"/>
          <w:bCs w:val="1"/>
          <w:rtl w:val="0"/>
        </w:rPr>
        <w:t>COMMON FORMATIVE ASSESSMENT &amp; ERROR ANALYS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</w:rPr>
        <w:t>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MONTH: _________________________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</w:pPr>
      <w:r>
        <w:rPr>
          <w:b w:val="1"/>
          <w:bCs w:val="1"/>
        </w:rPr>
        <w:tab/>
        <w:tab/>
        <w:tab/>
        <w:tab/>
        <w:tab/>
        <w:tab/>
        <w:tab/>
        <w:tab/>
      </w:r>
    </w:p>
    <w:p>
      <w:pPr>
        <w:pStyle w:val="Body"/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7"/>
        <w:gridCol w:w="811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Grade Level and Content:</w:t>
            </w:r>
          </w:p>
        </w:tc>
        <w:tc>
          <w:tcPr>
            <w:tcW w:type="dxa" w:w="8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8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Teacher(s)  Present:</w:t>
            </w:r>
          </w:p>
        </w:tc>
        <w:tc>
          <w:tcPr>
            <w:tcW w:type="dxa" w:w="8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9"/>
        <w:gridCol w:w="2695"/>
        <w:gridCol w:w="2693"/>
        <w:gridCol w:w="269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4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What is the Big Idea?</w:t>
            </w:r>
          </w:p>
        </w:tc>
        <w:tc>
          <w:tcPr>
            <w:tcW w:type="dxa" w:w="5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What is the Essential Question?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54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Key Content Standards from Common Core (For technical subjects, use CCSS Literacy)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Instructional Objective &amp; Proficiency Scales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 xml:space="preserve">Common Formative Assessments 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4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 CFA will be administered</w:t>
            </w:r>
          </w:p>
        </w:tc>
        <w:tc>
          <w:tcPr>
            <w:tcW w:type="dxa" w:w="5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 PLC will take place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4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color w:val="ff0000"/>
                <w:sz w:val="28"/>
                <w:szCs w:val="28"/>
                <w:u w:color="ff0000"/>
              </w:rPr>
            </w:r>
          </w:p>
        </w:tc>
        <w:tc>
          <w:tcPr>
            <w:tcW w:type="dxa" w:w="5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Data Sharing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Number of Classes meeting mastery where 80 % meeting level 3 (proficient) and 80% level 2 (basic)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Specific Skills and Depth of Knowledge with less than 80% mastery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Specific students in yellow zone (60%-79% score)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(Indicate C=Can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t or W=Won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t)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Specific students in red zone (Indicate C=Can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t or W=Won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t)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Additional Interventions for students despite re-teaching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Additional Enrichment for students who demonstrate mastery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07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00" w:firstLine="0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